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8"/>
          <w:szCs w:val="21"/>
        </w:rPr>
      </w:pPr>
      <w:r w:rsidRPr="003E167D">
        <w:rPr>
          <w:rFonts w:cs="Arial" w:hint="eastAsia"/>
          <w:color w:val="333333"/>
          <w:sz w:val="28"/>
          <w:szCs w:val="21"/>
        </w:rPr>
        <w:t>一、技术要求及参数：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1.1波长范围：190nm～1100nm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1.2光谱带宽：2.0nm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1.3杂散光：≤0.01%T</w:t>
      </w:r>
      <w:r w:rsidRPr="003E167D">
        <w:rPr>
          <w:rStyle w:val="data-span-bdfh0"/>
          <w:rFonts w:cs="Arial" w:hint="eastAsia"/>
          <w:color w:val="333333"/>
          <w:sz w:val="21"/>
          <w:szCs w:val="21"/>
        </w:rPr>
        <w:t>（</w:t>
      </w:r>
      <w:r w:rsidRPr="003E167D">
        <w:rPr>
          <w:rFonts w:cs="Arial" w:hint="eastAsia"/>
          <w:color w:val="333333"/>
          <w:sz w:val="21"/>
          <w:szCs w:val="21"/>
        </w:rPr>
        <w:t>220nm，Nal</w:t>
      </w:r>
      <w:r w:rsidRPr="003E167D">
        <w:rPr>
          <w:rStyle w:val="data-span-bdfh1"/>
          <w:rFonts w:cs="Arial" w:hint="eastAsia"/>
          <w:color w:val="333333"/>
          <w:sz w:val="21"/>
          <w:szCs w:val="21"/>
        </w:rPr>
        <w:t>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1.4波长准确度：±0.3nm（开机自动校准）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1.5波长重复性：≤0.1nm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1.6光学系统：准双光束</w:t>
      </w:r>
      <w:r w:rsidR="006E42C6">
        <w:rPr>
          <w:rFonts w:cs="Arial" w:hint="eastAsia"/>
          <w:color w:val="333333"/>
          <w:sz w:val="21"/>
          <w:szCs w:val="21"/>
        </w:rPr>
        <w:t>或双光束</w:t>
      </w:r>
      <w:r w:rsidRPr="003E167D">
        <w:rPr>
          <w:rFonts w:cs="Arial" w:hint="eastAsia"/>
          <w:color w:val="333333"/>
          <w:sz w:val="21"/>
          <w:szCs w:val="21"/>
        </w:rPr>
        <w:t>光学系统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1.7波长扫描：三档可选（快、中、慢）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1.8波长扫描速度：30000nm/min（提供证明材料）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1.9插座式氘灯和钨灯，换灯时免去光学调试。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1.10光度方式：透过率、吸光度、反射率，能量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1.11光度范围：-4.0Abs～4.0Abs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1.12光度准确度：±0.002Abs（0Abs～0.5Abs）、±0.004Abs（0.5Abs～1.0Abs）、±0.3%T（0～100%T）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1.13光度重复性：0.001Abs（0Abs～0.5Abs</w:t>
      </w:r>
      <w:r w:rsidRPr="003E167D">
        <w:rPr>
          <w:rStyle w:val="data-span-bdfh2"/>
          <w:rFonts w:cs="Arial" w:hint="eastAsia"/>
          <w:color w:val="333333"/>
          <w:sz w:val="21"/>
          <w:szCs w:val="21"/>
        </w:rPr>
        <w:t>）</w:t>
      </w:r>
      <w:r w:rsidRPr="003E167D">
        <w:rPr>
          <w:rFonts w:cs="Arial" w:hint="eastAsia"/>
          <w:color w:val="333333"/>
          <w:sz w:val="21"/>
          <w:szCs w:val="21"/>
        </w:rPr>
        <w:t>、0.002Abs（0.5Abs～1.0Abs）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1.14基线平直度：±0.0005Abs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1.15基线稳定性：≤0.0005Abs</w:t>
      </w:r>
      <w:r w:rsidRPr="003E167D">
        <w:rPr>
          <w:rStyle w:val="data-span-bdfh3"/>
          <w:rFonts w:cs="Arial" w:hint="eastAsia"/>
          <w:color w:val="333333"/>
          <w:sz w:val="21"/>
          <w:szCs w:val="21"/>
        </w:rPr>
        <w:t>（</w:t>
      </w:r>
      <w:r w:rsidRPr="003E167D">
        <w:rPr>
          <w:rFonts w:cs="Arial" w:hint="eastAsia"/>
          <w:color w:val="333333"/>
          <w:sz w:val="21"/>
          <w:szCs w:val="21"/>
        </w:rPr>
        <w:t>500nm，预热2小时后）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1.16噪声：0.0005Abs（500nm）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1.17软件：能够实现多模式同时显示，测量方式瞬间完成。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1.18主要测量功能：光度测量、光谱扫描、定量计算、时间扫描、三维图谱功能、DNA蛋白质测定。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1.19可实现多条光谱组合显示为三维谱图，对三维谱图进行光照、着色、分层等效果处理。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1.20可支持网络远程控制，实验室设备网络组建，进行一台计算机多台设备的操控。（提供基于实验室的数字化智能方案）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1.21可选配蠕动进样器、帕尔贴恒温池架，使仪器应用范围得到更大扩展。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1.22可配置X、Y、Z轴三维直角坐标式紫外自动进样器，可提供25ml及50ml两种规格的样品盘，最大可支持54个样品连续进样，可连接紫外分光光度计软件，并通过紫外可见分光光度计的软件直接反控自动进样器。（提供紫外自动进样器样本彩页和实物图片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1.23配置重金属检测专用耗材及方法包（镉），实现对重金属特异性选择、富集及检测，检出限要求达到</w:t>
      </w:r>
      <w:r w:rsidRPr="003E167D">
        <w:rPr>
          <w:rFonts w:ascii="Arial" w:hAnsi="Arial" w:cs="Arial"/>
          <w:color w:val="333333"/>
          <w:sz w:val="21"/>
          <w:szCs w:val="21"/>
        </w:rPr>
        <w:t>5ppb</w:t>
      </w:r>
      <w:r w:rsidRPr="003E167D">
        <w:rPr>
          <w:rFonts w:cs="Arial" w:hint="eastAsia"/>
          <w:color w:val="333333"/>
          <w:sz w:val="21"/>
          <w:szCs w:val="21"/>
        </w:rPr>
        <w:t>以下。（需提供盖有检测机构公章的第三方检验机构出具的验证报告复印件）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1.24生产厂家具有全国分析检测人员能力NTC培训、考核双重资质（提供NTC培训机构资质认定证书及NTC考核基地资质认定证书2个证书复印件）。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8"/>
          <w:szCs w:val="28"/>
        </w:rPr>
      </w:pPr>
      <w:r w:rsidRPr="003E167D">
        <w:rPr>
          <w:rFonts w:cs="Arial" w:hint="eastAsia"/>
          <w:color w:val="333333"/>
          <w:sz w:val="28"/>
          <w:szCs w:val="28"/>
        </w:rPr>
        <w:t>二、详细配置要求：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2.1、紫外可见分光光度计主机1台；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2.2、五联池架1个；</w:t>
      </w:r>
    </w:p>
    <w:p w:rsidR="009A1DDE" w:rsidRPr="007E7F34" w:rsidRDefault="009A1DDE" w:rsidP="009A1DDE">
      <w:pPr>
        <w:pStyle w:val="a5"/>
        <w:spacing w:before="40" w:beforeAutospacing="0" w:after="40" w:afterAutospacing="0"/>
        <w:rPr>
          <w:rFonts w:cs="Arial"/>
          <w:color w:val="333333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2.3、</w:t>
      </w:r>
      <w:r w:rsidR="007E7F34" w:rsidRPr="003E4C37">
        <w:rPr>
          <w:rFonts w:cs="Arial" w:hint="eastAsia"/>
          <w:color w:val="333333"/>
          <w:sz w:val="21"/>
          <w:szCs w:val="21"/>
        </w:rPr>
        <w:t>10mm玻璃比色皿4个、30mm玻璃比色皿2个、10mm石英比色皿</w:t>
      </w:r>
      <w:r w:rsidR="003E4C37">
        <w:rPr>
          <w:rFonts w:cs="Arial" w:hint="eastAsia"/>
          <w:color w:val="333333"/>
          <w:sz w:val="21"/>
          <w:szCs w:val="21"/>
        </w:rPr>
        <w:t>4</w:t>
      </w:r>
      <w:r w:rsidR="007E7F34" w:rsidRPr="003E4C37">
        <w:rPr>
          <w:rFonts w:cs="Arial" w:hint="eastAsia"/>
          <w:color w:val="333333"/>
          <w:sz w:val="21"/>
          <w:szCs w:val="21"/>
        </w:rPr>
        <w:t>个、20mm石英比色皿</w:t>
      </w:r>
      <w:r w:rsidR="003E4C37">
        <w:rPr>
          <w:rFonts w:cs="Arial" w:hint="eastAsia"/>
          <w:color w:val="333333"/>
          <w:sz w:val="21"/>
          <w:szCs w:val="21"/>
        </w:rPr>
        <w:t>4</w:t>
      </w:r>
      <w:r w:rsidR="007E7F34" w:rsidRPr="003E4C37">
        <w:rPr>
          <w:rFonts w:cs="Arial" w:hint="eastAsia"/>
          <w:color w:val="333333"/>
          <w:sz w:val="21"/>
          <w:szCs w:val="21"/>
        </w:rPr>
        <w:t>个</w:t>
      </w:r>
      <w:r w:rsidRPr="003E167D">
        <w:rPr>
          <w:rFonts w:cs="Arial" w:hint="eastAsia"/>
          <w:color w:val="333333"/>
          <w:sz w:val="21"/>
          <w:szCs w:val="21"/>
        </w:rPr>
        <w:t>；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lastRenderedPageBreak/>
        <w:t>2.4、中文操作软件1套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 w:hint="eastAsia"/>
          <w:color w:val="333333"/>
          <w:sz w:val="21"/>
          <w:szCs w:val="21"/>
        </w:rPr>
        <w:t>2.5、镉离子印迹材料 1份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167D">
        <w:rPr>
          <w:rFonts w:ascii="Arial" w:hAnsi="Arial" w:cs="Arial"/>
          <w:color w:val="333333"/>
          <w:sz w:val="28"/>
          <w:szCs w:val="28"/>
        </w:rPr>
        <w:t>三、服务要求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3.1中标人应负责产品的安装、调试，工程师上门现场安装培训。中标人联系相关检定机构出具检定或校准证书后，由采购人进行使用性能方面的验收。各项指标和参数应符合验收标准。凡未达到仪器安装体积要求和质量要求，作退货处理，中标人承担违约责任。</w:t>
      </w:r>
    </w:p>
    <w:p w:rsidR="006E42C6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 w:hint="eastAsia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3.2验收合格后整机免费保修1年。免费保修期内，如设备出现问题，供应商应在接到设备故障通知的1小时内响应，48小时内派维修人员到达现场开展维修。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3.3供应商应根据国家有关规定、厂家服务承诺及采购单位的要求做好售后服务工作。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3.4其生产厂家必须符合安全生产标准，其开发的软件必须达到开发成熟度二级以上，适用于检测使用。（提供软件成熟度评估证书以及安全生产</w:t>
      </w:r>
      <w:r w:rsidRPr="003E167D">
        <w:rPr>
          <w:rFonts w:ascii="Arial" w:hAnsi="Arial" w:cs="Arial"/>
          <w:color w:val="000000"/>
          <w:sz w:val="21"/>
          <w:szCs w:val="21"/>
        </w:rPr>
        <w:t>标准化证书）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E167D">
        <w:rPr>
          <w:rFonts w:ascii="Arial" w:hAnsi="Arial" w:cs="Arial"/>
          <w:color w:val="333333"/>
          <w:sz w:val="28"/>
          <w:szCs w:val="28"/>
        </w:rPr>
        <w:t>四、相关事项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4.1 本次询价供应商报价时须写明整套总价，报价总价包含仪器运输、安装、调试、仪器检定或校准、保修、税收等商品交付前所有可能发生的一切费用。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4.2 交货期：签订合同后10个工作日内送达并安装调试完毕。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4.3 交付地点：泉州市丰泽区泉秀街道浦西路12幢泉州市丰泽环境监测站。</w:t>
      </w:r>
    </w:p>
    <w:p w:rsidR="009A1DDE" w:rsidRPr="003E167D" w:rsidRDefault="009A1DDE" w:rsidP="009A1DDE">
      <w:pPr>
        <w:pStyle w:val="a5"/>
        <w:shd w:val="clear" w:color="auto" w:fill="FFFFFF"/>
        <w:spacing w:before="40" w:beforeAutospacing="0" w:after="0" w:afterAutospacing="0"/>
        <w:jc w:val="both"/>
        <w:rPr>
          <w:rFonts w:cs="Arial"/>
          <w:color w:val="333333"/>
          <w:sz w:val="21"/>
          <w:szCs w:val="21"/>
        </w:rPr>
      </w:pPr>
      <w:r w:rsidRPr="003E167D">
        <w:rPr>
          <w:rFonts w:cs="Arial"/>
          <w:color w:val="333333"/>
          <w:sz w:val="21"/>
          <w:szCs w:val="21"/>
        </w:rPr>
        <w:t>4.4 付款方式：仪器到货</w:t>
      </w:r>
      <w:r w:rsidR="00BF1530">
        <w:rPr>
          <w:rFonts w:cs="Arial" w:hint="eastAsia"/>
          <w:color w:val="333333"/>
          <w:sz w:val="21"/>
          <w:szCs w:val="21"/>
        </w:rPr>
        <w:t>后</w:t>
      </w:r>
      <w:r w:rsidRPr="003E167D">
        <w:rPr>
          <w:rFonts w:cs="Arial"/>
          <w:color w:val="333333"/>
          <w:sz w:val="21"/>
          <w:szCs w:val="21"/>
        </w:rPr>
        <w:t>安装运行</w:t>
      </w:r>
      <w:r w:rsidR="00BF1530">
        <w:rPr>
          <w:rFonts w:cs="Arial" w:hint="eastAsia"/>
          <w:color w:val="333333"/>
          <w:sz w:val="21"/>
          <w:szCs w:val="21"/>
        </w:rPr>
        <w:t>正常，</w:t>
      </w:r>
      <w:r w:rsidR="00AE1216" w:rsidRPr="003E167D">
        <w:rPr>
          <w:rFonts w:cs="Arial"/>
          <w:color w:val="333333"/>
          <w:sz w:val="21"/>
          <w:szCs w:val="21"/>
        </w:rPr>
        <w:t>仪器</w:t>
      </w:r>
      <w:r w:rsidR="00AE1216">
        <w:rPr>
          <w:rFonts w:cs="Arial" w:hint="eastAsia"/>
          <w:color w:val="333333"/>
          <w:sz w:val="21"/>
          <w:szCs w:val="21"/>
        </w:rPr>
        <w:t>经</w:t>
      </w:r>
      <w:r w:rsidR="00AE1216" w:rsidRPr="003E167D">
        <w:rPr>
          <w:rFonts w:cs="Arial"/>
          <w:color w:val="333333"/>
          <w:sz w:val="21"/>
          <w:szCs w:val="21"/>
        </w:rPr>
        <w:t>检定或校准</w:t>
      </w:r>
      <w:r w:rsidR="00AE1216">
        <w:rPr>
          <w:rFonts w:cs="Arial" w:hint="eastAsia"/>
          <w:color w:val="333333"/>
          <w:sz w:val="21"/>
          <w:szCs w:val="21"/>
        </w:rPr>
        <w:t>后各项指标符合使用要求，</w:t>
      </w:r>
      <w:r w:rsidRPr="003E167D">
        <w:rPr>
          <w:rFonts w:cs="Arial"/>
          <w:color w:val="333333"/>
          <w:sz w:val="21"/>
          <w:szCs w:val="21"/>
        </w:rPr>
        <w:t>验收合格后，全款支付。</w:t>
      </w:r>
    </w:p>
    <w:p w:rsidR="009A1DDE" w:rsidRPr="003E167D" w:rsidRDefault="009A1DDE" w:rsidP="009A1DDE">
      <w:pPr>
        <w:pStyle w:val="a5"/>
        <w:spacing w:before="40" w:beforeAutospacing="0" w:after="40" w:afterAutospacing="0"/>
        <w:rPr>
          <w:rFonts w:ascii="Arial" w:hAnsi="Arial" w:cs="Arial"/>
          <w:color w:val="000000"/>
          <w:sz w:val="21"/>
          <w:szCs w:val="21"/>
        </w:rPr>
      </w:pPr>
      <w:r w:rsidRPr="003E167D">
        <w:rPr>
          <w:rFonts w:ascii="Arial" w:hAnsi="Arial" w:cs="Arial"/>
          <w:color w:val="000000"/>
          <w:sz w:val="21"/>
          <w:szCs w:val="21"/>
        </w:rPr>
        <w:t> </w:t>
      </w:r>
    </w:p>
    <w:p w:rsidR="00632EED" w:rsidRPr="003E167D" w:rsidRDefault="00632EED" w:rsidP="009A1DDE">
      <w:pPr>
        <w:rPr>
          <w:szCs w:val="21"/>
        </w:rPr>
      </w:pPr>
    </w:p>
    <w:sectPr w:rsidR="00632EED" w:rsidRPr="003E167D" w:rsidSect="00EB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CB" w:rsidRPr="005B12FC" w:rsidRDefault="002A60CB" w:rsidP="00D36C8A">
      <w:pPr>
        <w:rPr>
          <w:rFonts w:ascii="Calibri" w:hAnsi="Calibri"/>
        </w:rPr>
      </w:pPr>
      <w:r>
        <w:separator/>
      </w:r>
    </w:p>
  </w:endnote>
  <w:endnote w:type="continuationSeparator" w:id="1">
    <w:p w:rsidR="002A60CB" w:rsidRPr="005B12FC" w:rsidRDefault="002A60CB" w:rsidP="00D36C8A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CB" w:rsidRPr="005B12FC" w:rsidRDefault="002A60CB" w:rsidP="00D36C8A">
      <w:pPr>
        <w:rPr>
          <w:rFonts w:ascii="Calibri" w:hAnsi="Calibri"/>
        </w:rPr>
      </w:pPr>
      <w:r>
        <w:separator/>
      </w:r>
    </w:p>
  </w:footnote>
  <w:footnote w:type="continuationSeparator" w:id="1">
    <w:p w:rsidR="002A60CB" w:rsidRPr="005B12FC" w:rsidRDefault="002A60CB" w:rsidP="00D36C8A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8A"/>
    <w:rsid w:val="001B19DC"/>
    <w:rsid w:val="00232987"/>
    <w:rsid w:val="002A60CB"/>
    <w:rsid w:val="003E167D"/>
    <w:rsid w:val="003E4C37"/>
    <w:rsid w:val="00594A3A"/>
    <w:rsid w:val="00632EED"/>
    <w:rsid w:val="006D3A81"/>
    <w:rsid w:val="006E42C6"/>
    <w:rsid w:val="007E7F34"/>
    <w:rsid w:val="00986E51"/>
    <w:rsid w:val="009A1DDE"/>
    <w:rsid w:val="009F5CB4"/>
    <w:rsid w:val="00A33376"/>
    <w:rsid w:val="00AE1216"/>
    <w:rsid w:val="00BF1530"/>
    <w:rsid w:val="00C277A2"/>
    <w:rsid w:val="00C351C5"/>
    <w:rsid w:val="00D36C8A"/>
    <w:rsid w:val="00D465F7"/>
    <w:rsid w:val="00DC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C8A"/>
    <w:rPr>
      <w:sz w:val="18"/>
      <w:szCs w:val="18"/>
    </w:rPr>
  </w:style>
  <w:style w:type="paragraph" w:customStyle="1" w:styleId="p">
    <w:name w:val="p"/>
    <w:basedOn w:val="a"/>
    <w:rsid w:val="00D36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-free-read-leaf">
    <w:name w:val="b-free-read-leaf"/>
    <w:basedOn w:val="a0"/>
    <w:rsid w:val="00D36C8A"/>
  </w:style>
  <w:style w:type="paragraph" w:styleId="a5">
    <w:name w:val="Normal (Web)"/>
    <w:basedOn w:val="a"/>
    <w:uiPriority w:val="99"/>
    <w:semiHidden/>
    <w:unhideWhenUsed/>
    <w:rsid w:val="009A1D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data-span-bdfh0">
    <w:name w:val="data-span-bdfh0"/>
    <w:basedOn w:val="a0"/>
    <w:rsid w:val="009A1DDE"/>
  </w:style>
  <w:style w:type="character" w:customStyle="1" w:styleId="data-span-bdfh1">
    <w:name w:val="data-span-bdfh1"/>
    <w:basedOn w:val="a0"/>
    <w:rsid w:val="009A1DDE"/>
  </w:style>
  <w:style w:type="character" w:customStyle="1" w:styleId="data-span-bdfh2">
    <w:name w:val="data-span-bdfh2"/>
    <w:basedOn w:val="a0"/>
    <w:rsid w:val="009A1DDE"/>
  </w:style>
  <w:style w:type="character" w:customStyle="1" w:styleId="data-span-bdfh3">
    <w:name w:val="data-span-bdfh3"/>
    <w:basedOn w:val="a0"/>
    <w:rsid w:val="009A1DDE"/>
  </w:style>
  <w:style w:type="character" w:styleId="a6">
    <w:name w:val="Strong"/>
    <w:qFormat/>
    <w:rsid w:val="007E7F3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FAAD-38AF-4113-97A1-3BF1ED57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2025-07-30T08:23:00Z</cp:lastPrinted>
  <dcterms:created xsi:type="dcterms:W3CDTF">2025-07-30T02:31:00Z</dcterms:created>
  <dcterms:modified xsi:type="dcterms:W3CDTF">2025-08-13T08:13:00Z</dcterms:modified>
</cp:coreProperties>
</file>